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D18EA" w:rsidR="00BC7C03" w:rsidP="003C5824" w:rsidRDefault="003C5824" w14:paraId="353C9874" w14:textId="77777777">
      <w:pPr>
        <w:jc w:val="right"/>
        <w:rPr>
          <w:rFonts w:ascii="Arial" w:hAnsi="Arial" w:cs="Arial"/>
          <w:szCs w:val="22"/>
        </w:rPr>
      </w:pPr>
      <w:r w:rsidRPr="003C5824">
        <w:rPr>
          <w:rFonts w:ascii="Arial" w:hAnsi="Arial" w:cs="Arial"/>
          <w:noProof/>
          <w:szCs w:val="22"/>
          <w:lang w:val="en-US"/>
        </w:rPr>
        <w:drawing>
          <wp:inline distT="0" distB="0" distL="0" distR="0" wp14:anchorId="5DB7781D" wp14:editId="6287E6EC">
            <wp:extent cx="1610225" cy="821816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25" cy="8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824" w:rsidP="00F05AF5" w:rsidRDefault="003C5824" w14:paraId="70B16AFC" w14:textId="77777777">
      <w:pPr>
        <w:jc w:val="both"/>
        <w:rPr>
          <w:rFonts w:ascii="Corbel" w:hAnsi="Corbel" w:cs="Arial"/>
          <w:b/>
          <w:szCs w:val="22"/>
        </w:rPr>
      </w:pPr>
    </w:p>
    <w:p w:rsidRPr="003C5824" w:rsidR="003C5824" w:rsidP="003C5824" w:rsidRDefault="003C5824" w14:paraId="6162455F" w14:textId="77777777">
      <w:pPr>
        <w:jc w:val="center"/>
        <w:rPr>
          <w:rFonts w:ascii="Corbel" w:hAnsi="Corbel" w:cs="Arial"/>
          <w:b/>
          <w:sz w:val="24"/>
          <w:szCs w:val="24"/>
        </w:rPr>
      </w:pPr>
      <w:r w:rsidRPr="003C5824">
        <w:rPr>
          <w:rFonts w:ascii="Corbel" w:hAnsi="Corbel" w:cs="Arial"/>
          <w:b/>
          <w:sz w:val="24"/>
          <w:szCs w:val="24"/>
        </w:rPr>
        <w:t>JOB DESCRIPTION</w:t>
      </w:r>
    </w:p>
    <w:p w:rsidR="003C5824" w:rsidP="00F05AF5" w:rsidRDefault="003C5824" w14:paraId="120C4939" w14:textId="77777777">
      <w:pPr>
        <w:jc w:val="both"/>
        <w:rPr>
          <w:rFonts w:ascii="Corbel" w:hAnsi="Corbel" w:cs="Arial"/>
          <w:b/>
          <w:szCs w:val="22"/>
        </w:rPr>
      </w:pPr>
    </w:p>
    <w:tbl>
      <w:tblPr>
        <w:tblpPr w:leftFromText="180" w:rightFromText="180" w:vertAnchor="page" w:horzAnchor="margin" w:tblpY="39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3"/>
        <w:gridCol w:w="5699"/>
      </w:tblGrid>
      <w:tr w:rsidRPr="00F77910" w:rsidR="003C5824" w:rsidTr="3CFA2956" w14:paraId="2913EC16" w14:textId="77777777">
        <w:trPr>
          <w:trHeight w:val="481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7C61BEE9" w14:textId="77777777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Title: 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FB5B7C" w:rsidP="003C5824" w:rsidRDefault="00174914" w14:paraId="4CE5DB1E" w14:textId="4D631ACC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Acquisitions and E-resources Coordinator</w:t>
            </w:r>
          </w:p>
        </w:tc>
      </w:tr>
      <w:tr w:rsidRPr="00F77910" w:rsidR="003C5824" w:rsidTr="3CFA2956" w14:paraId="4CAD9620" w14:textId="77777777">
        <w:trPr>
          <w:trHeight w:val="417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7C54C7D4" w14:textId="77777777">
            <w:pPr>
              <w:pStyle w:val="Heading1"/>
              <w:jc w:val="left"/>
              <w:rPr>
                <w:rFonts w:ascii="Corbel" w:hAnsi="Corbel" w:cs="Arial"/>
                <w:color w:val="auto"/>
                <w:szCs w:val="22"/>
              </w:rPr>
            </w:pPr>
            <w:r w:rsidRPr="00F77910">
              <w:rPr>
                <w:rFonts w:ascii="Corbel" w:hAnsi="Corbel" w:cs="Arial"/>
                <w:color w:val="auto"/>
                <w:szCs w:val="22"/>
              </w:rPr>
              <w:t>Department / Unit: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8D711E" w14:paraId="5B8306ED" w14:textId="77777777">
            <w:pPr>
              <w:pStyle w:val="Heading1"/>
              <w:rPr>
                <w:rFonts w:ascii="Corbel" w:hAnsi="Corbel" w:cs="Arial"/>
                <w:b w:val="0"/>
                <w:color w:val="auto"/>
                <w:szCs w:val="22"/>
              </w:rPr>
            </w:pPr>
            <w:r>
              <w:rPr>
                <w:rFonts w:ascii="Corbel" w:hAnsi="Corbel" w:cs="Arial"/>
                <w:b w:val="0"/>
                <w:color w:val="auto"/>
                <w:szCs w:val="22"/>
              </w:rPr>
              <w:t>Library Services</w:t>
            </w:r>
          </w:p>
        </w:tc>
      </w:tr>
      <w:tr w:rsidRPr="00F77910" w:rsidR="003C5824" w:rsidTr="3CFA2956" w14:paraId="423F12DD" w14:textId="77777777">
        <w:trPr>
          <w:trHeight w:val="420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3A653646" w14:textId="77777777">
            <w:pPr>
              <w:rPr>
                <w:rFonts w:ascii="Corbel" w:hAnsi="Corbel" w:cs="Arial"/>
                <w:b/>
                <w:i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type 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D56B08" w14:paraId="57DFDD71" w14:textId="69B12E01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Professional</w:t>
            </w:r>
            <w:r w:rsidR="00076E1B">
              <w:rPr>
                <w:rFonts w:ascii="Corbel" w:hAnsi="Corbel" w:cs="Arial"/>
                <w:szCs w:val="22"/>
              </w:rPr>
              <w:t xml:space="preserve"> Services</w:t>
            </w:r>
          </w:p>
        </w:tc>
      </w:tr>
      <w:tr w:rsidRPr="00F77910" w:rsidR="003C5824" w:rsidTr="3CFA2956" w14:paraId="012EC7B2" w14:textId="77777777">
        <w:trPr>
          <w:trHeight w:val="413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3CFA2956" w:rsidRDefault="003C5824" w14:paraId="08C387D3" w14:textId="35890E35">
            <w:pPr>
              <w:rPr>
                <w:rFonts w:ascii="Corbel" w:hAnsi="Corbel" w:cs="Arial"/>
                <w:b w:val="1"/>
                <w:bCs w:val="1"/>
              </w:rPr>
            </w:pPr>
            <w:r w:rsidRPr="3CFA2956" w:rsidR="003C5824">
              <w:rPr>
                <w:rFonts w:ascii="Corbel" w:hAnsi="Corbel" w:cs="Arial"/>
                <w:b w:val="1"/>
                <w:bCs w:val="1"/>
              </w:rPr>
              <w:t>Grade: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425164" w14:paraId="503E4D78" w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6</w:t>
            </w:r>
          </w:p>
        </w:tc>
      </w:tr>
      <w:tr w:rsidRPr="00F77910" w:rsidR="003C5824" w:rsidTr="3CFA2956" w14:paraId="1E06D523" w14:textId="77777777">
        <w:trPr>
          <w:trHeight w:val="418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3CFA2956" w:rsidRDefault="003C5824" w14:paraId="7AAF95A2" w14:textId="0953E5D7">
            <w:pPr>
              <w:rPr>
                <w:rFonts w:ascii="Corbel" w:hAnsi="Corbel" w:cs="Arial"/>
                <w:b w:val="1"/>
                <w:bCs w:val="1"/>
              </w:rPr>
            </w:pPr>
            <w:r w:rsidRPr="3CFA2956" w:rsidR="003C5824">
              <w:rPr>
                <w:rFonts w:ascii="Corbel" w:hAnsi="Corbel" w:cs="Arial"/>
                <w:b w:val="1"/>
                <w:bCs w:val="1"/>
              </w:rPr>
              <w:t>Accountable</w:t>
            </w:r>
            <w:r w:rsidRPr="3CFA2956" w:rsidR="003C5824">
              <w:rPr>
                <w:rFonts w:ascii="Corbel" w:hAnsi="Corbel" w:cs="Arial"/>
                <w:b w:val="1"/>
                <w:bCs w:val="1"/>
              </w:rPr>
              <w:t xml:space="preserve"> </w:t>
            </w:r>
            <w:r w:rsidRPr="3CFA2956" w:rsidR="10835D50">
              <w:rPr>
                <w:rFonts w:ascii="Corbel" w:hAnsi="Corbel" w:cs="Arial"/>
                <w:b w:val="1"/>
                <w:bCs w:val="1"/>
              </w:rPr>
              <w:t>to: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425164" w14:paraId="3D0C5ADE" w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Head of Acquisitions and Content Delivery</w:t>
            </w:r>
          </w:p>
        </w:tc>
      </w:tr>
      <w:tr w:rsidRPr="00F77910" w:rsidR="003C5824" w:rsidTr="3CFA2956" w14:paraId="02DAF8A1" w14:textId="77777777">
        <w:trPr>
          <w:trHeight w:val="516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072B5511" w14:textId="77777777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for:    </w:t>
            </w:r>
          </w:p>
          <w:p w:rsidRPr="00F77910" w:rsidR="003C5824" w:rsidP="003C5824" w:rsidRDefault="003C5824" w14:paraId="246B2D3E" w14:textId="77777777">
            <w:pPr>
              <w:rPr>
                <w:rFonts w:ascii="Corbel" w:hAnsi="Corbel" w:cs="Arial"/>
                <w:i/>
                <w:szCs w:val="22"/>
              </w:rPr>
            </w:pP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425164" w14:paraId="3EB3629D" w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Information Assistants</w:t>
            </w:r>
          </w:p>
        </w:tc>
      </w:tr>
      <w:tr w:rsidRPr="00F77910" w:rsidR="003C5824" w:rsidTr="3CFA2956" w14:paraId="5FDA7E08" w14:textId="77777777">
        <w:trPr>
          <w:trHeight w:val="351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F77910" w:rsidR="003C5824" w:rsidP="003C5824" w:rsidRDefault="003C5824" w14:paraId="2580F8EE" w14:textId="77777777">
            <w:pPr>
              <w:rPr>
                <w:rFonts w:ascii="Corbel" w:hAnsi="Corbel" w:cs="Arial"/>
                <w:b/>
                <w:i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Purpose of the Post</w:t>
            </w:r>
          </w:p>
        </w:tc>
      </w:tr>
      <w:tr w:rsidRPr="00F77910" w:rsidR="003C5824" w:rsidTr="3CFA2956" w14:paraId="3CBCC2C7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="3CFA2956" w:rsidP="3CFA2956" w:rsidRDefault="3CFA2956" w14:paraId="2E0E0DCE" w14:textId="0B162DA1">
            <w:pPr>
              <w:pStyle w:val="Normal"/>
              <w:jc w:val="both"/>
              <w:rPr>
                <w:rFonts w:ascii="Corbel" w:hAnsi="Corbel"/>
              </w:rPr>
            </w:pPr>
          </w:p>
          <w:p w:rsidRPr="00425164" w:rsidR="00425164" w:rsidP="3CFA2956" w:rsidRDefault="00425164" w14:paraId="18A47ACD" w14:textId="707C54DE">
            <w:pPr>
              <w:jc w:val="both"/>
              <w:rPr>
                <w:rFonts w:ascii="Corbel" w:hAnsi="Corbel"/>
              </w:rPr>
            </w:pPr>
            <w:r w:rsidRPr="3CFA2956" w:rsidR="00425164">
              <w:rPr>
                <w:rFonts w:ascii="Corbel" w:hAnsi="Corbel"/>
              </w:rPr>
              <w:t xml:space="preserve">To coordinate </w:t>
            </w:r>
            <w:r w:rsidRPr="3CFA2956" w:rsidR="00860C88">
              <w:rPr>
                <w:rFonts w:ascii="Corbel" w:hAnsi="Corbel"/>
              </w:rPr>
              <w:t xml:space="preserve">the </w:t>
            </w:r>
            <w:r w:rsidRPr="3CFA2956" w:rsidR="00425164">
              <w:rPr>
                <w:rFonts w:ascii="Corbel" w:hAnsi="Corbel"/>
              </w:rPr>
              <w:t xml:space="preserve">library’s </w:t>
            </w:r>
            <w:r w:rsidRPr="3CFA2956" w:rsidR="00BB0C94">
              <w:rPr>
                <w:rFonts w:ascii="Corbel" w:hAnsi="Corbel"/>
              </w:rPr>
              <w:t xml:space="preserve">acquisitions activities and </w:t>
            </w:r>
            <w:r w:rsidRPr="3CFA2956" w:rsidR="001F30F1">
              <w:rPr>
                <w:rFonts w:ascii="Corbel" w:hAnsi="Corbel"/>
              </w:rPr>
              <w:t xml:space="preserve">e-resources management, particularly relating to </w:t>
            </w:r>
            <w:r w:rsidRPr="3CFA2956" w:rsidR="00EA64A9">
              <w:rPr>
                <w:rFonts w:ascii="Corbel" w:hAnsi="Corbel"/>
              </w:rPr>
              <w:t>electronic and print subscriptions</w:t>
            </w:r>
            <w:r w:rsidRPr="3CFA2956" w:rsidR="00425164">
              <w:rPr>
                <w:rFonts w:ascii="Corbel" w:hAnsi="Corbel"/>
              </w:rPr>
              <w:t xml:space="preserve"> and </w:t>
            </w:r>
            <w:r w:rsidRPr="3CFA2956" w:rsidR="00B46E43">
              <w:rPr>
                <w:rFonts w:ascii="Corbel" w:hAnsi="Corbel"/>
              </w:rPr>
              <w:t>journal</w:t>
            </w:r>
            <w:r w:rsidRPr="3CFA2956" w:rsidR="53C9D551">
              <w:rPr>
                <w:rFonts w:ascii="Corbel" w:hAnsi="Corbel"/>
              </w:rPr>
              <w:t xml:space="preserve"> and </w:t>
            </w:r>
            <w:r w:rsidRPr="3CFA2956" w:rsidR="00B46E43">
              <w:rPr>
                <w:rFonts w:ascii="Corbel" w:hAnsi="Corbel"/>
              </w:rPr>
              <w:t>database</w:t>
            </w:r>
            <w:r w:rsidRPr="3CFA2956" w:rsidR="18511EC5">
              <w:rPr>
                <w:rFonts w:ascii="Corbel" w:hAnsi="Corbel"/>
              </w:rPr>
              <w:t xml:space="preserve"> </w:t>
            </w:r>
            <w:r w:rsidRPr="3CFA2956" w:rsidR="00425164">
              <w:rPr>
                <w:rFonts w:ascii="Corbel" w:hAnsi="Corbel"/>
              </w:rPr>
              <w:t>purchases</w:t>
            </w:r>
            <w:r w:rsidRPr="3CFA2956" w:rsidR="00F01F37">
              <w:rPr>
                <w:rFonts w:ascii="Corbel" w:hAnsi="Corbel"/>
              </w:rPr>
              <w:t xml:space="preserve">. </w:t>
            </w:r>
            <w:r w:rsidRPr="3CFA2956" w:rsidR="00BA2E49">
              <w:rPr>
                <w:rFonts w:ascii="Corbel" w:hAnsi="Corbel"/>
              </w:rPr>
              <w:t>The role will also support collection management activities</w:t>
            </w:r>
            <w:r w:rsidRPr="3CFA2956" w:rsidR="00B567C8">
              <w:rPr>
                <w:rFonts w:ascii="Corbel" w:hAnsi="Corbel"/>
              </w:rPr>
              <w:t>.</w:t>
            </w:r>
            <w:r w:rsidRPr="3CFA2956" w:rsidR="00D80447">
              <w:rPr>
                <w:rFonts w:ascii="Corbel" w:hAnsi="Corbel"/>
              </w:rPr>
              <w:t xml:space="preserve"> The role includes:</w:t>
            </w:r>
          </w:p>
          <w:p w:rsidRPr="00425164" w:rsidR="00425164" w:rsidP="00425164" w:rsidRDefault="00425164" w14:paraId="3D8131BD" w14:textId="77777777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 xml:space="preserve">maintaining accurate records of subscriptions, access entitlements, licenses and usage </w:t>
            </w:r>
            <w:proofErr w:type="gramStart"/>
            <w:r w:rsidRPr="00425164">
              <w:rPr>
                <w:rFonts w:ascii="Corbel" w:hAnsi="Corbel"/>
                <w:szCs w:val="22"/>
              </w:rPr>
              <w:t>data;</w:t>
            </w:r>
            <w:proofErr w:type="gramEnd"/>
          </w:p>
          <w:p w:rsidR="00425164" w:rsidP="00425164" w:rsidRDefault="00425164" w14:paraId="205DE486" w14:textId="65819531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 xml:space="preserve">delivering continuity of access and a high standard of service to library </w:t>
            </w:r>
            <w:proofErr w:type="gramStart"/>
            <w:r w:rsidRPr="00425164">
              <w:rPr>
                <w:rFonts w:ascii="Corbel" w:hAnsi="Corbel"/>
                <w:szCs w:val="22"/>
              </w:rPr>
              <w:t>users;</w:t>
            </w:r>
            <w:proofErr w:type="gramEnd"/>
          </w:p>
          <w:p w:rsidRPr="00425164" w:rsidR="003137AA" w:rsidP="00425164" w:rsidRDefault="003137AA" w14:paraId="060CB459" w14:textId="55968087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>
              <w:rPr>
                <w:rFonts w:ascii="Corbel" w:hAnsi="Corbel"/>
                <w:szCs w:val="22"/>
              </w:rPr>
              <w:t xml:space="preserve">supporting the licensing of resources for students in international and domestic partnership arrangements and alternative pathways such as foundation year </w:t>
            </w:r>
            <w:proofErr w:type="gramStart"/>
            <w:r>
              <w:rPr>
                <w:rFonts w:ascii="Corbel" w:hAnsi="Corbel"/>
                <w:szCs w:val="22"/>
              </w:rPr>
              <w:t>students;</w:t>
            </w:r>
            <w:proofErr w:type="gramEnd"/>
          </w:p>
          <w:p w:rsidR="00425164" w:rsidP="00425164" w:rsidRDefault="00425164" w14:paraId="4D149962" w14:textId="0A55E2A2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 xml:space="preserve">ensuring that acquired resources represent the best possible value for </w:t>
            </w:r>
            <w:proofErr w:type="gramStart"/>
            <w:r w:rsidRPr="00425164">
              <w:rPr>
                <w:rFonts w:ascii="Corbel" w:hAnsi="Corbel"/>
                <w:szCs w:val="22"/>
              </w:rPr>
              <w:t>money;</w:t>
            </w:r>
            <w:proofErr w:type="gramEnd"/>
          </w:p>
          <w:p w:rsidRPr="00425164" w:rsidR="003137AA" w:rsidP="00425164" w:rsidRDefault="003137AA" w14:paraId="1BE4293C" w14:textId="74551B10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>
              <w:rPr>
                <w:rFonts w:ascii="Corbel" w:hAnsi="Corbel"/>
                <w:szCs w:val="22"/>
              </w:rPr>
              <w:t xml:space="preserve">administering ordering, renewal, invoicing and cancellation of subscription </w:t>
            </w:r>
            <w:proofErr w:type="gramStart"/>
            <w:r>
              <w:rPr>
                <w:rFonts w:ascii="Corbel" w:hAnsi="Corbel"/>
                <w:szCs w:val="22"/>
              </w:rPr>
              <w:t>resources;</w:t>
            </w:r>
            <w:proofErr w:type="gramEnd"/>
          </w:p>
          <w:p w:rsidR="006E32E7" w:rsidP="00425164" w:rsidRDefault="00425164" w14:paraId="2A4D20FD" w14:textId="6706297D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>providing practical support for the development and management of the library’s digital collections (including open access</w:t>
            </w:r>
            <w:proofErr w:type="gramStart"/>
            <w:r w:rsidRPr="00425164">
              <w:rPr>
                <w:rFonts w:ascii="Corbel" w:hAnsi="Corbel"/>
                <w:szCs w:val="22"/>
              </w:rPr>
              <w:t>)</w:t>
            </w:r>
            <w:r w:rsidR="00E4203E">
              <w:rPr>
                <w:rFonts w:ascii="Corbel" w:hAnsi="Corbel"/>
                <w:szCs w:val="22"/>
              </w:rPr>
              <w:t>;</w:t>
            </w:r>
            <w:proofErr w:type="gramEnd"/>
          </w:p>
          <w:p w:rsidR="001633A2" w:rsidP="00425164" w:rsidRDefault="001633A2" w14:paraId="573609EA" w14:textId="727287CF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>
              <w:rPr>
                <w:rFonts w:ascii="Corbel" w:hAnsi="Corbel"/>
                <w:szCs w:val="22"/>
              </w:rPr>
              <w:t>participate in collection management activities and projects, especially</w:t>
            </w:r>
            <w:r w:rsidR="00E4203E">
              <w:rPr>
                <w:rFonts w:ascii="Corbel" w:hAnsi="Corbel"/>
                <w:szCs w:val="22"/>
              </w:rPr>
              <w:t xml:space="preserve"> pertaining to print and digital journals and </w:t>
            </w:r>
            <w:proofErr w:type="gramStart"/>
            <w:r w:rsidR="00E4203E">
              <w:rPr>
                <w:rFonts w:ascii="Corbel" w:hAnsi="Corbel"/>
                <w:szCs w:val="22"/>
              </w:rPr>
              <w:t>databases;</w:t>
            </w:r>
            <w:proofErr w:type="gramEnd"/>
          </w:p>
          <w:p w:rsidRPr="003137AA" w:rsidR="003137AA" w:rsidP="003137AA" w:rsidRDefault="003137AA" w14:paraId="52E261C7" w14:textId="1096F586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 xml:space="preserve">ensuring efficient and effective acquisitions </w:t>
            </w:r>
            <w:proofErr w:type="gramStart"/>
            <w:r w:rsidRPr="00425164">
              <w:rPr>
                <w:rFonts w:ascii="Corbel" w:hAnsi="Corbel"/>
                <w:szCs w:val="22"/>
              </w:rPr>
              <w:t>workflows;</w:t>
            </w:r>
            <w:proofErr w:type="gramEnd"/>
          </w:p>
          <w:p w:rsidRPr="00425164" w:rsidR="00425164" w:rsidP="00425164" w:rsidRDefault="00425164" w14:paraId="6BF76253" w14:textId="77777777">
            <w:pPr>
              <w:numPr>
                <w:ilvl w:val="0"/>
                <w:numId w:val="12"/>
              </w:numPr>
              <w:jc w:val="both"/>
              <w:rPr>
                <w:rFonts w:ascii="Corbel" w:hAnsi="Corbel"/>
                <w:szCs w:val="22"/>
              </w:rPr>
            </w:pPr>
            <w:r w:rsidRPr="00425164">
              <w:rPr>
                <w:rFonts w:ascii="Corbel" w:hAnsi="Corbel"/>
                <w:szCs w:val="22"/>
              </w:rPr>
              <w:t>line managing and supervising Information Assistants</w:t>
            </w:r>
          </w:p>
          <w:p w:rsidRPr="00F77910" w:rsidR="003C5824" w:rsidP="008D711E" w:rsidRDefault="003C5824" w14:paraId="0C83F0E2" w14:textId="77777777">
            <w:pPr>
              <w:jc w:val="both"/>
              <w:rPr>
                <w:rFonts w:ascii="Corbel" w:hAnsi="Corbel"/>
                <w:szCs w:val="22"/>
              </w:rPr>
            </w:pPr>
          </w:p>
        </w:tc>
      </w:tr>
      <w:tr w:rsidRPr="00F77910" w:rsidR="003C5824" w:rsidTr="3CFA2956" w14:paraId="16C56C55" w14:textId="77777777">
        <w:trPr>
          <w:trHeight w:val="401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3C5824" w:rsidR="003C5824" w:rsidP="003C5824" w:rsidRDefault="003C5824" w14:paraId="30891A5F" w14:textId="77777777">
            <w:pPr>
              <w:jc w:val="both"/>
              <w:rPr>
                <w:rFonts w:ascii="Corbel" w:hAnsi="Corbel"/>
                <w:b/>
                <w:szCs w:val="22"/>
              </w:rPr>
            </w:pPr>
            <w:r w:rsidRPr="003C5824">
              <w:rPr>
                <w:rFonts w:ascii="Corbel" w:hAnsi="Corbel"/>
                <w:b/>
                <w:szCs w:val="22"/>
              </w:rPr>
              <w:t>Key Tasks</w:t>
            </w:r>
          </w:p>
        </w:tc>
      </w:tr>
      <w:tr w:rsidRPr="00F77910" w:rsidR="003C5824" w:rsidTr="3CFA2956" w14:paraId="2D5E3850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="00425164" w:rsidP="00425164" w:rsidRDefault="00425164" w14:paraId="2ED9A6BD" w14:textId="77777777">
            <w:pPr>
              <w:pStyle w:val="ListParagraph"/>
              <w:ind w:left="502"/>
              <w:rPr>
                <w:u w:val="single"/>
              </w:rPr>
            </w:pPr>
          </w:p>
          <w:p w:rsidR="60433224" w:rsidP="3CFA2956" w:rsidRDefault="60433224" w14:paraId="02A2E9A9" w14:textId="18B2B8C3">
            <w:pPr>
              <w:jc w:val="both"/>
              <w:rPr>
                <w:rFonts w:ascii="Corbel" w:hAnsi="Corbel"/>
              </w:rPr>
            </w:pPr>
            <w:r w:rsidRPr="3CFA2956" w:rsidR="60433224">
              <w:rPr>
                <w:rFonts w:ascii="Corbel" w:hAnsi="Corbel"/>
              </w:rPr>
              <w:t>This is one of two parallel posts. The focus of this post is subscriptions; the focus of the other is one-time purchasing of books. Responsibility for e-book packages is split between the two, with this post managing ordering, renewal and invoicing activities, and the other managing access, holdings and entitlements, and discoverability.</w:t>
            </w:r>
          </w:p>
          <w:p w:rsidR="3CFA2956" w:rsidP="3CFA2956" w:rsidRDefault="3CFA2956" w14:paraId="29B37113" w14:textId="53A84B3F">
            <w:pPr>
              <w:pStyle w:val="Normal"/>
              <w:rPr>
                <w:rFonts w:ascii="Corbel" w:hAnsi="Corbel" w:eastAsia="Calibri"/>
              </w:rPr>
            </w:pPr>
          </w:p>
          <w:p w:rsidRPr="00425164" w:rsidR="00425164" w:rsidP="00425164" w:rsidRDefault="00425164" w14:paraId="6EDE5A6D" w14:textId="77777777">
            <w:pPr>
              <w:rPr>
                <w:rFonts w:ascii="Corbel" w:hAnsi="Corbel"/>
              </w:rPr>
            </w:pPr>
            <w:r w:rsidRPr="00425164">
              <w:rPr>
                <w:rFonts w:ascii="Corbel" w:hAnsi="Corbel" w:eastAsia="Calibri"/>
              </w:rPr>
              <w:t>Subscriptions management</w:t>
            </w:r>
          </w:p>
          <w:p w:rsidRPr="00425164" w:rsidR="00425164" w:rsidP="00425164" w:rsidRDefault="00425164" w14:paraId="63400986" w14:textId="77777777">
            <w:pPr>
              <w:pStyle w:val="ListParagraph"/>
              <w:ind w:left="502"/>
              <w:rPr>
                <w:u w:val="single"/>
              </w:rPr>
            </w:pPr>
          </w:p>
          <w:p w:rsidR="00425164" w:rsidP="00425164" w:rsidRDefault="00425164" w14:paraId="2ABA3252" w14:textId="5EA7F90A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Carry out the ordering, </w:t>
            </w:r>
            <w:proofErr w:type="gramStart"/>
            <w:r w:rsidRPr="00425164">
              <w:t>renewal</w:t>
            </w:r>
            <w:proofErr w:type="gramEnd"/>
            <w:r w:rsidRPr="00425164">
              <w:t xml:space="preserve"> and cancellation of </w:t>
            </w:r>
            <w:r w:rsidR="003507BF">
              <w:t>print and digital</w:t>
            </w:r>
            <w:r w:rsidRPr="00425164">
              <w:t xml:space="preserve"> subscriptions, taking particular responsibility for </w:t>
            </w:r>
            <w:r w:rsidR="00443AEC">
              <w:t xml:space="preserve">supporting </w:t>
            </w:r>
            <w:r w:rsidRPr="00425164">
              <w:t>subscriptions review</w:t>
            </w:r>
            <w:r w:rsidR="00BA2D24">
              <w:t>s</w:t>
            </w:r>
            <w:r w:rsidRPr="00425164">
              <w:t>.</w:t>
            </w:r>
          </w:p>
          <w:p w:rsidRPr="00425164" w:rsidR="00425164" w:rsidP="00425164" w:rsidRDefault="00425164" w14:paraId="4429490F" w14:textId="77777777">
            <w:pPr>
              <w:pStyle w:val="ListParagraph"/>
              <w:ind w:left="360"/>
            </w:pPr>
          </w:p>
          <w:p w:rsidR="00425164" w:rsidP="00425164" w:rsidRDefault="00425164" w14:paraId="7EE4930C" w14:textId="681B73E4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Support the Head of Acquisitions and Content Delivery and Information Consultants with evaluation and selection of </w:t>
            </w:r>
            <w:r w:rsidR="00F66947">
              <w:t>print and digital</w:t>
            </w:r>
            <w:r w:rsidRPr="00425164">
              <w:t xml:space="preserve"> subscriptions.</w:t>
            </w:r>
          </w:p>
          <w:p w:rsidRPr="00425164" w:rsidR="00425164" w:rsidP="00425164" w:rsidRDefault="00425164" w14:paraId="21EA21F5" w14:textId="77777777">
            <w:pPr>
              <w:rPr>
                <w:rFonts w:eastAsia="Calibri"/>
              </w:rPr>
            </w:pPr>
          </w:p>
          <w:p w:rsidR="00425164" w:rsidP="00425164" w:rsidRDefault="00425164" w14:paraId="2E256B61" w14:textId="77777777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Understand and report on subscription pricing models, consortium and publisher agreements and licence </w:t>
            </w:r>
            <w:proofErr w:type="gramStart"/>
            <w:r w:rsidRPr="00425164">
              <w:t>terms</w:t>
            </w:r>
            <w:proofErr w:type="gramEnd"/>
          </w:p>
          <w:p w:rsidRPr="00425164" w:rsidR="00425164" w:rsidP="00425164" w:rsidRDefault="00425164" w14:paraId="6C9524A1" w14:textId="77777777">
            <w:pPr>
              <w:rPr>
                <w:rFonts w:eastAsia="Calibri"/>
              </w:rPr>
            </w:pPr>
          </w:p>
          <w:p w:rsidR="00425164" w:rsidP="00425164" w:rsidRDefault="00425164" w14:paraId="30AB1DC4" w14:textId="6734BB1B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Use negotiation skills to ensure that the </w:t>
            </w:r>
            <w:r w:rsidR="710A871A">
              <w:rPr/>
              <w:t>l</w:t>
            </w:r>
            <w:r w:rsidR="00425164">
              <w:rPr/>
              <w:t>ibrary</w:t>
            </w:r>
            <w:r w:rsidR="00425164">
              <w:rPr/>
              <w:t xml:space="preserve"> obtains the best value for money for new subscriptions and renewals</w:t>
            </w:r>
          </w:p>
          <w:p w:rsidRPr="00425164" w:rsidR="00425164" w:rsidP="00425164" w:rsidRDefault="00425164" w14:paraId="2FA1A39F" w14:textId="77777777">
            <w:pPr>
              <w:rPr>
                <w:rFonts w:eastAsia="Calibri"/>
              </w:rPr>
            </w:pPr>
          </w:p>
          <w:p w:rsidR="00425164" w:rsidP="00425164" w:rsidRDefault="00425164" w14:paraId="670EE62C" w14:textId="21FDE695">
            <w:pPr>
              <w:pStyle w:val="ListParagraph"/>
              <w:numPr>
                <w:ilvl w:val="0"/>
                <w:numId w:val="13"/>
              </w:numPr>
            </w:pPr>
            <w:r w:rsidRPr="00425164">
              <w:t>Coordinate the administration of licences for subscri</w:t>
            </w:r>
            <w:r w:rsidR="00800C13">
              <w:t>bed digital resources</w:t>
            </w:r>
            <w:r w:rsidR="00BA2D24">
              <w:t xml:space="preserve">, including the licensing of </w:t>
            </w:r>
            <w:r w:rsidR="009F6936">
              <w:t>resources for</w:t>
            </w:r>
            <w:r w:rsidR="00BA2D24">
              <w:t xml:space="preserve"> students in international and domestic partnership arrangements and alternative pathways, such as foundation year students.</w:t>
            </w:r>
          </w:p>
          <w:p w:rsidRPr="00425164" w:rsidR="00425164" w:rsidP="00425164" w:rsidRDefault="00425164" w14:paraId="41A116E7" w14:textId="77777777">
            <w:pPr>
              <w:rPr>
                <w:rFonts w:eastAsia="Calibri"/>
              </w:rPr>
            </w:pPr>
          </w:p>
          <w:p w:rsidR="00425164" w:rsidP="00425164" w:rsidRDefault="00425164" w14:paraId="5BF86B7E" w14:textId="2CA1CD59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Maintain </w:t>
            </w:r>
            <w:r w:rsidR="00425164">
              <w:rPr/>
              <w:t>accurate</w:t>
            </w:r>
            <w:r w:rsidR="00425164">
              <w:rPr/>
              <w:t xml:space="preserve"> records of </w:t>
            </w:r>
            <w:r w:rsidR="05E731BE">
              <w:rPr/>
              <w:t xml:space="preserve">subscription </w:t>
            </w:r>
            <w:r w:rsidR="00425164">
              <w:rPr/>
              <w:t>holdings</w:t>
            </w:r>
            <w:r w:rsidR="00425164">
              <w:rPr/>
              <w:t xml:space="preserve"> and online access entitlements in the library management system (Alma), other </w:t>
            </w:r>
            <w:r w:rsidR="00425164">
              <w:rPr/>
              <w:t>appropriate tools</w:t>
            </w:r>
            <w:r w:rsidR="00425164">
              <w:rPr/>
              <w:t xml:space="preserve">, and associated spreadsheets, working with Library colleagues when </w:t>
            </w:r>
            <w:r w:rsidR="00425164">
              <w:rPr/>
              <w:t>appropriate</w:t>
            </w:r>
            <w:r w:rsidR="00425164">
              <w:rPr/>
              <w:t>.</w:t>
            </w:r>
            <w:r w:rsidR="2121238D">
              <w:rPr/>
              <w:t xml:space="preserve"> Holdings and online access entitlements for e-book packages</w:t>
            </w:r>
            <w:r w:rsidR="61FF3C97">
              <w:rPr/>
              <w:t xml:space="preserve"> will primarily be </w:t>
            </w:r>
            <w:r w:rsidR="61FF3C97">
              <w:rPr/>
              <w:t>maintained</w:t>
            </w:r>
            <w:r w:rsidR="61FF3C97">
              <w:rPr/>
              <w:t xml:space="preserve"> by the Acquisitions and E-resources Co-ordinator responsible for </w:t>
            </w:r>
            <w:r w:rsidR="1914BFFE">
              <w:rPr/>
              <w:t>one-time purchases</w:t>
            </w:r>
            <w:r w:rsidR="5C1CD855">
              <w:rPr/>
              <w:t>.</w:t>
            </w:r>
          </w:p>
          <w:p w:rsidRPr="00425164" w:rsidR="00425164" w:rsidP="00425164" w:rsidRDefault="00425164" w14:paraId="644096DD" w14:textId="77777777">
            <w:pPr>
              <w:rPr>
                <w:rFonts w:eastAsia="Calibri"/>
              </w:rPr>
            </w:pPr>
          </w:p>
          <w:p w:rsidR="00425164" w:rsidP="00425164" w:rsidRDefault="00425164" w14:paraId="1CE8912D" w14:textId="77777777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Liaise with subscription agents, </w:t>
            </w:r>
            <w:proofErr w:type="gramStart"/>
            <w:r w:rsidRPr="00425164">
              <w:t>publishers</w:t>
            </w:r>
            <w:proofErr w:type="gramEnd"/>
            <w:r w:rsidRPr="00425164">
              <w:t xml:space="preserve"> and other suppliers to ensure delivery of consistently high-quality service, monitoring standards of service delivery and working to resolve any issues with journal and database subscriptions, online access or print supply.</w:t>
            </w:r>
          </w:p>
          <w:p w:rsidRPr="00425164" w:rsidR="00425164" w:rsidP="00425164" w:rsidRDefault="00425164" w14:paraId="21162C9D" w14:textId="77777777">
            <w:pPr>
              <w:rPr>
                <w:rFonts w:eastAsia="Calibri"/>
              </w:rPr>
            </w:pPr>
          </w:p>
          <w:p w:rsidR="00425164" w:rsidP="00425164" w:rsidRDefault="00425164" w14:paraId="6ABA3E87" w14:textId="77777777">
            <w:pPr>
              <w:pStyle w:val="ListParagraph"/>
              <w:numPr>
                <w:ilvl w:val="0"/>
                <w:numId w:val="13"/>
              </w:numPr>
            </w:pPr>
            <w:r w:rsidRPr="00425164">
              <w:t>Liaise with the Library Administration Team and the Finance Department to ensure prompt payment and undisrupted delivery of content.</w:t>
            </w:r>
          </w:p>
          <w:p w:rsidRPr="00425164" w:rsidR="00425164" w:rsidP="00425164" w:rsidRDefault="00425164" w14:paraId="05FDA36D" w14:textId="77777777">
            <w:pPr>
              <w:rPr>
                <w:rFonts w:eastAsia="Calibri"/>
              </w:rPr>
            </w:pPr>
          </w:p>
          <w:p w:rsidR="00425164" w:rsidP="00425164" w:rsidRDefault="00425164" w14:paraId="6E735307" w14:textId="4AE0B75D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Contribute to the Library’s transition to new </w:t>
            </w:r>
            <w:r w:rsidR="00642E9C">
              <w:t>subscription</w:t>
            </w:r>
            <w:r w:rsidRPr="00425164">
              <w:t xml:space="preserve"> pricing models (including open access), liaising with appropriate colleagues.</w:t>
            </w:r>
          </w:p>
          <w:p w:rsidRPr="00425164" w:rsidR="00425164" w:rsidP="00425164" w:rsidRDefault="00425164" w14:paraId="594529DB" w14:textId="77777777">
            <w:pPr>
              <w:rPr>
                <w:rFonts w:eastAsia="Calibri"/>
              </w:rPr>
            </w:pPr>
          </w:p>
          <w:p w:rsidR="00425164" w:rsidP="00425164" w:rsidRDefault="00425164" w14:paraId="4D638934" w14:textId="394B39CF">
            <w:pPr>
              <w:pStyle w:val="ListParagraph"/>
              <w:numPr>
                <w:ilvl w:val="0"/>
                <w:numId w:val="13"/>
              </w:numPr>
            </w:pPr>
            <w:r w:rsidRPr="00425164">
              <w:t xml:space="preserve">Gather and collate information on expected annual subscriptions expenditure in support of the preparation of the </w:t>
            </w:r>
            <w:r w:rsidR="00DC484E">
              <w:t>Information Resources</w:t>
            </w:r>
            <w:r w:rsidRPr="00425164">
              <w:t xml:space="preserve"> Budget by the Head of Acquisitions and Content Delivery</w:t>
            </w:r>
          </w:p>
          <w:p w:rsidR="00425164" w:rsidP="00425164" w:rsidRDefault="00425164" w14:paraId="7E937723" w14:textId="77777777">
            <w:pPr>
              <w:pStyle w:val="ListParagraph"/>
            </w:pPr>
          </w:p>
          <w:p w:rsidRPr="00425164" w:rsidR="00425164" w:rsidP="00425164" w:rsidRDefault="00425164" w14:paraId="7A4E8574" w14:textId="77777777">
            <w:pPr>
              <w:pStyle w:val="ListParagraph"/>
              <w:ind w:left="360"/>
            </w:pPr>
          </w:p>
          <w:p w:rsidRPr="00425164" w:rsidR="00425164" w:rsidP="00425164" w:rsidRDefault="00425164" w14:paraId="3162AA34" w14:textId="77777777">
            <w:pPr>
              <w:rPr>
                <w:rFonts w:ascii="Corbel" w:hAnsi="Corbel" w:eastAsia="Calibri"/>
              </w:rPr>
            </w:pPr>
            <w:r w:rsidRPr="00425164">
              <w:rPr>
                <w:rFonts w:ascii="Corbel" w:hAnsi="Corbel" w:eastAsia="Calibri"/>
              </w:rPr>
              <w:t>Digital resource management</w:t>
            </w:r>
          </w:p>
          <w:p w:rsidRPr="00425164" w:rsidR="00425164" w:rsidP="00425164" w:rsidRDefault="00425164" w14:paraId="3128587F" w14:textId="77777777">
            <w:pPr>
              <w:rPr>
                <w:rFonts w:eastAsia="Calibri"/>
                <w:u w:val="single"/>
              </w:rPr>
            </w:pPr>
          </w:p>
          <w:p w:rsidR="00425164" w:rsidP="00425164" w:rsidRDefault="00425164" w14:paraId="73D7BE2D" w14:textId="367B64E9">
            <w:pPr>
              <w:pStyle w:val="ListParagraph"/>
              <w:numPr>
                <w:ilvl w:val="0"/>
                <w:numId w:val="13"/>
              </w:numPr>
            </w:pPr>
            <w:r w:rsidRPr="00425164">
              <w:t>Support the Head of Acquisitions and Content Delivery in establishing workflows and systems to record entitlements and post-cancellation access details for e-journals.</w:t>
            </w:r>
          </w:p>
          <w:p w:rsidRPr="00425164" w:rsidR="00425164" w:rsidP="00425164" w:rsidRDefault="00425164" w14:paraId="36A7AD79" w14:textId="77777777">
            <w:pPr>
              <w:pStyle w:val="ListParagraph"/>
              <w:ind w:left="360"/>
            </w:pPr>
          </w:p>
          <w:p w:rsidR="00425164" w:rsidP="00425164" w:rsidRDefault="00425164" w14:paraId="59B6CECD" w14:textId="36DB02C1">
            <w:pPr>
              <w:pStyle w:val="ListParagraph"/>
              <w:numPr>
                <w:ilvl w:val="0"/>
                <w:numId w:val="13"/>
              </w:numPr>
            </w:pPr>
            <w:r w:rsidRPr="00425164">
              <w:t>Work with the Library Systems Manager to maintain access to all e</w:t>
            </w:r>
            <w:r w:rsidR="000F2665">
              <w:t>-</w:t>
            </w:r>
            <w:r w:rsidRPr="00425164">
              <w:t xml:space="preserve">resources using appropriate library authentication systems (Shibboleth, </w:t>
            </w:r>
            <w:proofErr w:type="spellStart"/>
            <w:r w:rsidRPr="00425164">
              <w:t>EZproxy</w:t>
            </w:r>
            <w:proofErr w:type="spellEnd"/>
            <w:r w:rsidRPr="00425164">
              <w:t>).</w:t>
            </w:r>
          </w:p>
          <w:p w:rsidRPr="00425164" w:rsidR="00425164" w:rsidP="00425164" w:rsidRDefault="00425164" w14:paraId="55287220" w14:textId="77777777">
            <w:pPr>
              <w:rPr>
                <w:rFonts w:eastAsia="Calibri"/>
              </w:rPr>
            </w:pPr>
          </w:p>
          <w:p w:rsidR="00425164" w:rsidP="00425164" w:rsidRDefault="00425164" w14:paraId="0BAF25CC" w14:textId="11E7B5A4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Work with the </w:t>
            </w:r>
            <w:r w:rsidR="0082082A">
              <w:rPr/>
              <w:t xml:space="preserve">SIA </w:t>
            </w:r>
            <w:r w:rsidR="00425164">
              <w:rPr/>
              <w:t>Metadata and Discovery to ensure that journals and databases are fully discoverable to users via library systems (</w:t>
            </w:r>
            <w:r w:rsidR="00425164">
              <w:rPr/>
              <w:t>e.g.</w:t>
            </w:r>
            <w:r w:rsidR="00425164">
              <w:rPr/>
              <w:t xml:space="preserve"> Primo)</w:t>
            </w:r>
            <w:r w:rsidR="188889AE">
              <w:rPr/>
              <w:t>. Discoverability</w:t>
            </w:r>
            <w:r w:rsidR="447DDDD5">
              <w:rPr/>
              <w:t xml:space="preserve"> of</w:t>
            </w:r>
            <w:r w:rsidR="188889AE">
              <w:rPr/>
              <w:t xml:space="preserve"> e-book packages will</w:t>
            </w:r>
            <w:r w:rsidR="188889AE">
              <w:rPr/>
              <w:t xml:space="preserve"> primarily be </w:t>
            </w:r>
            <w:r w:rsidR="188889AE">
              <w:rPr/>
              <w:t>maintained</w:t>
            </w:r>
            <w:r w:rsidR="188889AE">
              <w:rPr/>
              <w:t xml:space="preserve"> by the Acquisitions and E-resources Co-ordinator responsible for </w:t>
            </w:r>
            <w:r w:rsidR="5FB25F0A">
              <w:rPr/>
              <w:t>one-time purchases</w:t>
            </w:r>
            <w:r w:rsidR="188889AE">
              <w:rPr/>
              <w:t>.</w:t>
            </w:r>
          </w:p>
          <w:p w:rsidRPr="00425164" w:rsidR="00425164" w:rsidP="00425164" w:rsidRDefault="00425164" w14:paraId="5949B35D" w14:textId="77777777">
            <w:pPr>
              <w:rPr>
                <w:rFonts w:eastAsia="Calibri"/>
              </w:rPr>
            </w:pPr>
          </w:p>
          <w:p w:rsidR="00425164" w:rsidP="00425164" w:rsidRDefault="00425164" w14:paraId="7B72CFB9" w14:textId="5FBF3BC0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Collect, </w:t>
            </w:r>
            <w:proofErr w:type="gramStart"/>
            <w:r w:rsidR="00425164">
              <w:rPr/>
              <w:t>collate</w:t>
            </w:r>
            <w:proofErr w:type="gramEnd"/>
            <w:r w:rsidR="00425164">
              <w:rPr/>
              <w:t xml:space="preserve"> and analyse usage data for </w:t>
            </w:r>
            <w:r w:rsidR="00365E57">
              <w:rPr/>
              <w:t>e-</w:t>
            </w:r>
            <w:r w:rsidR="009C2B5A">
              <w:rPr/>
              <w:t>resources</w:t>
            </w:r>
            <w:r w:rsidR="00425164">
              <w:rPr/>
              <w:t xml:space="preserve"> using appropriate tools (JUSP) and standards (COUNTER), and prepare management information reports to support collection management decision making.</w:t>
            </w:r>
          </w:p>
          <w:p w:rsidRPr="00425164" w:rsidR="00425164" w:rsidP="00425164" w:rsidRDefault="00425164" w14:paraId="7E97DD58" w14:textId="77777777">
            <w:pPr>
              <w:rPr>
                <w:rFonts w:eastAsia="Calibri"/>
              </w:rPr>
            </w:pPr>
          </w:p>
          <w:p w:rsidR="00425164" w:rsidP="00425164" w:rsidRDefault="00425164" w14:paraId="231383F6" w14:textId="622AE966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Respond to queries relating to journal and database </w:t>
            </w:r>
            <w:r w:rsidR="00225EE6">
              <w:rPr/>
              <w:t>content</w:t>
            </w:r>
            <w:r w:rsidR="00425164">
              <w:rPr/>
              <w:t xml:space="preserve"> from library staff and users, and trouble-shoot access problems.  As part of a team, provide cover for queries relating to e-books as required.</w:t>
            </w:r>
          </w:p>
          <w:p w:rsidRPr="00425164" w:rsidR="00425164" w:rsidP="00425164" w:rsidRDefault="00425164" w14:paraId="3EBA4C1C" w14:textId="77777777">
            <w:pPr>
              <w:rPr>
                <w:rFonts w:eastAsia="Calibri"/>
              </w:rPr>
            </w:pPr>
          </w:p>
          <w:p w:rsidR="00425164" w:rsidP="00425164" w:rsidRDefault="00425164" w14:paraId="0C069C8D" w14:textId="669D12E6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>Support the planning and implementation of collection development and management projects across both physical and digital collections, including coordinating projects as required from time to time</w:t>
            </w:r>
            <w:r w:rsidR="000B7B10">
              <w:rPr/>
              <w:t>.</w:t>
            </w:r>
          </w:p>
          <w:p w:rsidRPr="00425164" w:rsidR="00425164" w:rsidP="00425164" w:rsidRDefault="00425164" w14:paraId="74B0808C" w14:textId="77777777">
            <w:pPr>
              <w:rPr>
                <w:rFonts w:eastAsia="Calibri"/>
              </w:rPr>
            </w:pPr>
          </w:p>
          <w:p w:rsidR="00425164" w:rsidP="00425164" w:rsidRDefault="00425164" w14:paraId="324064F6" w14:textId="77777777">
            <w:pPr>
              <w:rPr>
                <w:rFonts w:ascii="Corbel" w:hAnsi="Corbel" w:eastAsia="Calibri"/>
              </w:rPr>
            </w:pPr>
            <w:r w:rsidRPr="00425164">
              <w:rPr>
                <w:rFonts w:ascii="Corbel" w:hAnsi="Corbel" w:eastAsia="Calibri"/>
              </w:rPr>
              <w:t>Staff management and supervision</w:t>
            </w:r>
          </w:p>
          <w:p w:rsidRPr="00425164" w:rsidR="00425164" w:rsidP="00425164" w:rsidRDefault="00425164" w14:paraId="6B6DECA2" w14:textId="77777777">
            <w:pPr>
              <w:rPr>
                <w:rFonts w:ascii="Corbel" w:hAnsi="Corbel" w:eastAsia="Calibri"/>
              </w:rPr>
            </w:pPr>
          </w:p>
          <w:p w:rsidR="00425164" w:rsidP="00425164" w:rsidRDefault="00425164" w14:paraId="731BF6B0" w14:textId="77777777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>Contribute to the documentation of policies and procedures relating to journal and database subscriptions.</w:t>
            </w:r>
          </w:p>
          <w:p w:rsidRPr="00425164" w:rsidR="00425164" w:rsidP="00425164" w:rsidRDefault="00425164" w14:paraId="12D3B740" w14:textId="77777777">
            <w:pPr>
              <w:pStyle w:val="ListParagraph"/>
              <w:ind w:left="360"/>
            </w:pPr>
          </w:p>
          <w:p w:rsidR="00425164" w:rsidP="00425164" w:rsidRDefault="00425164" w14:paraId="5F29C8B9" w14:textId="77777777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>Line manage Information Assistants, including recruitment, induction, probation, performance management, staff development and pastoral care.</w:t>
            </w:r>
          </w:p>
          <w:p w:rsidRPr="00425164" w:rsidR="00425164" w:rsidP="00425164" w:rsidRDefault="00425164" w14:paraId="61063D11" w14:textId="77777777">
            <w:pPr>
              <w:rPr>
                <w:rFonts w:eastAsia="Calibri"/>
              </w:rPr>
            </w:pPr>
          </w:p>
          <w:p w:rsidRPr="00425164" w:rsidR="00425164" w:rsidP="00425164" w:rsidRDefault="00425164" w14:paraId="4761A98A" w14:textId="77777777">
            <w:pPr>
              <w:pStyle w:val="ListParagraph"/>
              <w:numPr>
                <w:ilvl w:val="0"/>
                <w:numId w:val="13"/>
              </w:numPr>
              <w:rPr/>
            </w:pPr>
            <w:r w:rsidR="00425164">
              <w:rPr/>
              <w:t xml:space="preserve">Deliver training, supervision, support for queries, and quality assurance for the journal and database administration work in the team.  </w:t>
            </w:r>
          </w:p>
          <w:p w:rsidR="008D711E" w:rsidP="00425164" w:rsidRDefault="008D711E" w14:paraId="08B1F059" w14:textId="77777777">
            <w:pPr>
              <w:pStyle w:val="ListParagraph"/>
              <w:ind w:left="502"/>
            </w:pPr>
          </w:p>
        </w:tc>
      </w:tr>
      <w:tr w:rsidRPr="00F77910" w:rsidR="003C5824" w:rsidTr="3CFA2956" w14:paraId="6D73CC85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="00425164" w:rsidP="00425164" w:rsidRDefault="00425164" w14:paraId="12A30E76" w14:textId="77777777">
            <w:pPr>
              <w:jc w:val="both"/>
              <w:rPr>
                <w:rFonts w:cs="Arial"/>
              </w:rPr>
            </w:pPr>
          </w:p>
          <w:p w:rsidRPr="00425164" w:rsidR="008D711E" w:rsidP="00425164" w:rsidRDefault="008D711E" w14:paraId="146E7D97" w14:textId="77777777">
            <w:pPr>
              <w:jc w:val="both"/>
              <w:rPr>
                <w:rFonts w:ascii="Corbel" w:hAnsi="Corbel" w:cs="Arial"/>
              </w:rPr>
            </w:pPr>
            <w:r w:rsidRPr="00425164">
              <w:rPr>
                <w:rFonts w:ascii="Corbel" w:hAnsi="Corbel" w:cs="Arial"/>
              </w:rPr>
              <w:t>General</w:t>
            </w:r>
          </w:p>
          <w:p w:rsidRPr="00425164" w:rsidR="00425164" w:rsidP="00425164" w:rsidRDefault="00425164" w14:paraId="6DD4D096" w14:textId="77777777">
            <w:pPr>
              <w:pStyle w:val="ListParagraph"/>
              <w:numPr>
                <w:ilvl w:val="0"/>
                <w:numId w:val="13"/>
              </w:numPr>
              <w:spacing w:before="240" w:after="120"/>
              <w:contextualSpacing w:val="0"/>
              <w:rPr>
                <w:rFonts w:cs="Arial"/>
              </w:rPr>
            </w:pPr>
            <w:r w:rsidRPr="3CFA2956" w:rsidR="00425164">
              <w:rPr>
                <w:rFonts w:cs="Arial"/>
              </w:rPr>
              <w:t xml:space="preserve">Ensure that all workflows associated with the post are efficient and effective through a continual process of evaluation and improvement where </w:t>
            </w:r>
            <w:proofErr w:type="gramStart"/>
            <w:r w:rsidRPr="3CFA2956" w:rsidR="00425164">
              <w:rPr>
                <w:rFonts w:cs="Arial"/>
              </w:rPr>
              <w:t>possible</w:t>
            </w:r>
            <w:proofErr w:type="gramEnd"/>
          </w:p>
          <w:p w:rsidRPr="00425164" w:rsidR="00425164" w:rsidP="00425164" w:rsidRDefault="00425164" w14:paraId="1852F651" w14:textId="77777777">
            <w:pPr>
              <w:pStyle w:val="ListParagraph"/>
              <w:numPr>
                <w:ilvl w:val="0"/>
                <w:numId w:val="13"/>
              </w:numPr>
              <w:spacing w:before="240" w:after="120"/>
              <w:ind w:left="357" w:hanging="357"/>
              <w:contextualSpacing w:val="0"/>
              <w:rPr>
                <w:rFonts w:cs="Arial"/>
                <w:color w:val="000000"/>
              </w:rPr>
            </w:pPr>
            <w:r w:rsidRPr="3CFA2956" w:rsidR="00425164">
              <w:rPr>
                <w:rFonts w:cs="Arial"/>
              </w:rPr>
              <w:t xml:space="preserve">Participate in regional and national networks in the area of journals and database management (for </w:t>
            </w:r>
            <w:r w:rsidRPr="3CFA2956" w:rsidR="00425164">
              <w:rPr>
                <w:rFonts w:cs="Arial"/>
                <w:color w:val="000000" w:themeColor="text1" w:themeTint="FF" w:themeShade="FF"/>
              </w:rPr>
              <w:t>example UKSG), in order to maintain awareness of trends in journal publishing and business models, and digital resource management policies and practices.</w:t>
            </w:r>
          </w:p>
          <w:p w:rsidRPr="00425164" w:rsidR="00425164" w:rsidP="00425164" w:rsidRDefault="00425164" w14:paraId="41C04396" w14:textId="77777777">
            <w:pPr>
              <w:ind w:left="360"/>
              <w:rPr>
                <w:rFonts w:ascii="Corbel" w:hAnsi="Corbel" w:cs="Arial"/>
                <w:color w:val="000000"/>
              </w:rPr>
            </w:pPr>
          </w:p>
          <w:p w:rsidRPr="00425164" w:rsidR="00425164" w:rsidP="00425164" w:rsidRDefault="00425164" w14:paraId="07EDBA3F" w14:textId="77777777">
            <w:pPr>
              <w:numPr>
                <w:ilvl w:val="0"/>
                <w:numId w:val="13"/>
              </w:numPr>
              <w:rPr>
                <w:rFonts w:ascii="Corbel" w:hAnsi="Corbel" w:cs="Arial"/>
                <w:color w:val="000000"/>
              </w:rPr>
            </w:pPr>
            <w:r w:rsidRPr="3CFA2956" w:rsidR="00425164">
              <w:rPr>
                <w:rFonts w:ascii="Corbel" w:hAnsi="Corbel" w:cs="Arial"/>
                <w:color w:val="000000" w:themeColor="text1" w:themeTint="FF" w:themeShade="FF"/>
              </w:rPr>
              <w:t xml:space="preserve">Develop expertise in relevant Library systems required for the role, </w:t>
            </w:r>
            <w:proofErr w:type="gramStart"/>
            <w:r w:rsidRPr="3CFA2956" w:rsidR="00425164">
              <w:rPr>
                <w:rFonts w:ascii="Corbel" w:hAnsi="Corbel" w:cs="Arial"/>
                <w:color w:val="000000" w:themeColor="text1" w:themeTint="FF" w:themeShade="FF"/>
              </w:rPr>
              <w:t>e.g.</w:t>
            </w:r>
            <w:proofErr w:type="gramEnd"/>
            <w:r w:rsidRPr="3CFA2956" w:rsidR="00425164">
              <w:rPr>
                <w:rFonts w:ascii="Corbel" w:hAnsi="Corbel" w:cs="Arial"/>
                <w:color w:val="000000" w:themeColor="text1" w:themeTint="FF" w:themeShade="FF"/>
              </w:rPr>
              <w:t xml:space="preserve"> Alma.</w:t>
            </w:r>
          </w:p>
          <w:p w:rsidRPr="00425164" w:rsidR="00425164" w:rsidP="00425164" w:rsidRDefault="00425164" w14:paraId="460EB3D1" w14:textId="77777777">
            <w:pPr>
              <w:pStyle w:val="ListParagraph"/>
              <w:rPr>
                <w:rFonts w:cs="Arial"/>
                <w:color w:val="000000"/>
              </w:rPr>
            </w:pPr>
          </w:p>
          <w:p w:rsidRPr="00425164" w:rsidR="00425164" w:rsidP="00425164" w:rsidRDefault="00425164" w14:paraId="3D1523DB" w14:textId="77777777">
            <w:pPr>
              <w:numPr>
                <w:ilvl w:val="0"/>
                <w:numId w:val="13"/>
              </w:numPr>
              <w:rPr>
                <w:rFonts w:ascii="Corbel" w:hAnsi="Corbel" w:cs="Arial"/>
                <w:color w:val="000000"/>
              </w:rPr>
            </w:pPr>
            <w:r w:rsidRPr="3CFA2956" w:rsidR="00425164">
              <w:rPr>
                <w:rFonts w:ascii="Corbel" w:hAnsi="Corbel" w:cs="Arial"/>
                <w:color w:val="000000" w:themeColor="text1" w:themeTint="FF" w:themeShade="FF"/>
              </w:rPr>
              <w:t>Contribute to operational planning and service developments in Acquisitions and Content Delivery as part of a team.</w:t>
            </w:r>
          </w:p>
          <w:p w:rsidRPr="00425164" w:rsidR="008D711E" w:rsidP="00425164" w:rsidRDefault="00425164" w14:paraId="6F0D549C" w14:textId="77777777">
            <w:pPr>
              <w:pStyle w:val="ListParagraph"/>
              <w:numPr>
                <w:ilvl w:val="0"/>
                <w:numId w:val="13"/>
              </w:numPr>
              <w:spacing w:before="240" w:after="120"/>
              <w:ind w:left="357" w:hanging="357"/>
              <w:contextualSpacing w:val="0"/>
              <w:rPr>
                <w:rFonts w:cs="Arial"/>
              </w:rPr>
            </w:pPr>
            <w:r w:rsidRPr="3CFA2956" w:rsidR="00425164">
              <w:rPr>
                <w:rFonts w:cs="Arial"/>
                <w:color w:val="000000" w:themeColor="text1" w:themeTint="FF" w:themeShade="FF"/>
              </w:rPr>
              <w:t xml:space="preserve">Participate in project and development activities as part of a team of staff seeking to meet the </w:t>
            </w:r>
            <w:proofErr w:type="gramStart"/>
            <w:r w:rsidRPr="3CFA2956" w:rsidR="00425164">
              <w:rPr>
                <w:rFonts w:cs="Arial"/>
                <w:color w:val="000000" w:themeColor="text1" w:themeTint="FF" w:themeShade="FF"/>
              </w:rPr>
              <w:t>Library’s</w:t>
            </w:r>
            <w:proofErr w:type="gramEnd"/>
            <w:r w:rsidRPr="3CFA2956" w:rsidR="00425164">
              <w:rPr>
                <w:rFonts w:cs="Arial"/>
                <w:color w:val="000000" w:themeColor="text1" w:themeTint="FF" w:themeShade="FF"/>
              </w:rPr>
              <w:t xml:space="preserve"> strategic</w:t>
            </w:r>
            <w:r w:rsidRPr="3CFA2956" w:rsidR="00425164">
              <w:rPr>
                <w:rFonts w:cs="Arial"/>
              </w:rPr>
              <w:t xml:space="preserve"> aims and goals.</w:t>
            </w:r>
          </w:p>
        </w:tc>
      </w:tr>
      <w:tr w:rsidRPr="00F77910" w:rsidR="00DD620F" w:rsidTr="3CFA2956" w14:paraId="798DF219" w14:textId="77777777">
        <w:trPr>
          <w:trHeight w:val="398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DE2D49" w:rsidR="00DD620F" w:rsidP="00DD620F" w:rsidRDefault="00DD620F" w14:paraId="0E7A013B" w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Other Duties</w:t>
            </w:r>
          </w:p>
        </w:tc>
      </w:tr>
      <w:tr w:rsidRPr="00F77910" w:rsidR="00DD620F" w:rsidTr="3CFA2956" w14:paraId="64BC2677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DE2D49" w:rsidR="00DD620F" w:rsidP="00DD620F" w:rsidRDefault="00DD620F" w14:paraId="558D95BA" w14:textId="0617923A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szCs w:val="22"/>
              </w:rPr>
              <w:t xml:space="preserve">The </w:t>
            </w:r>
            <w:r>
              <w:rPr>
                <w:rFonts w:ascii="Corbel" w:hAnsi="Corbel" w:cs="Arial"/>
                <w:szCs w:val="22"/>
              </w:rPr>
              <w:t xml:space="preserve">duties listed are not exhaustive and may be varied from time to time as dictated by the changing needs of the </w:t>
            </w:r>
            <w:r w:rsidR="00A76E58">
              <w:rPr>
                <w:rFonts w:ascii="Corbel" w:hAnsi="Corbel" w:cs="Arial"/>
                <w:szCs w:val="22"/>
              </w:rPr>
              <w:t>University</w:t>
            </w:r>
            <w:r>
              <w:rPr>
                <w:rFonts w:ascii="Corbel" w:hAnsi="Corbel" w:cs="Arial"/>
                <w:szCs w:val="22"/>
              </w:rPr>
              <w:t xml:space="preserve">.  The </w:t>
            </w:r>
            <w:r w:rsidRPr="00DE2D49">
              <w:rPr>
                <w:rFonts w:ascii="Corbel" w:hAnsi="Corbel" w:cs="Arial"/>
                <w:szCs w:val="22"/>
              </w:rPr>
              <w:t>post holder will be expected</w:t>
            </w:r>
            <w:r>
              <w:rPr>
                <w:rFonts w:ascii="Corbel" w:hAnsi="Corbel" w:cs="Arial"/>
                <w:szCs w:val="22"/>
              </w:rPr>
              <w:t xml:space="preserve"> to undertake </w:t>
            </w:r>
            <w:r w:rsidR="006E32E7">
              <w:rPr>
                <w:rFonts w:ascii="Corbel" w:hAnsi="Corbel" w:cs="Arial"/>
                <w:szCs w:val="22"/>
              </w:rPr>
              <w:t>other duties as appropriate and</w:t>
            </w:r>
            <w:r w:rsidRPr="00DE2D49">
              <w:rPr>
                <w:rFonts w:ascii="Corbel" w:hAnsi="Corbel" w:cs="Arial"/>
                <w:szCs w:val="22"/>
              </w:rPr>
              <w:t xml:space="preserve"> a</w:t>
            </w:r>
            <w:r>
              <w:rPr>
                <w:rFonts w:ascii="Corbel" w:hAnsi="Corbel" w:cs="Arial"/>
                <w:szCs w:val="22"/>
              </w:rPr>
              <w:t xml:space="preserve">s requested by </w:t>
            </w:r>
            <w:r w:rsidR="006E32E7">
              <w:rPr>
                <w:rFonts w:ascii="Corbel" w:hAnsi="Corbel" w:cs="Arial"/>
                <w:szCs w:val="22"/>
              </w:rPr>
              <w:t>their</w:t>
            </w:r>
            <w:r>
              <w:rPr>
                <w:rFonts w:ascii="Corbel" w:hAnsi="Corbel" w:cs="Arial"/>
                <w:szCs w:val="22"/>
              </w:rPr>
              <w:t xml:space="preserve"> manager.</w:t>
            </w:r>
          </w:p>
          <w:p w:rsidRPr="00DE2D49" w:rsidR="00DD620F" w:rsidP="00DD620F" w:rsidRDefault="00DD620F" w14:paraId="33B5E919" w14:textId="77777777">
            <w:pPr>
              <w:autoSpaceDE w:val="0"/>
              <w:autoSpaceDN w:val="0"/>
              <w:rPr>
                <w:rFonts w:ascii="Corbel" w:hAnsi="Corbel" w:cs="Arial"/>
                <w:b/>
                <w:szCs w:val="22"/>
              </w:rPr>
            </w:pPr>
          </w:p>
        </w:tc>
      </w:tr>
      <w:tr w:rsidRPr="00F77910" w:rsidR="00DD620F" w:rsidTr="3CFA2956" w14:paraId="6254EF64" w14:textId="77777777">
        <w:trPr>
          <w:trHeight w:val="358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DE2D49" w:rsidR="00DD620F" w:rsidP="00DD620F" w:rsidRDefault="00DD620F" w14:paraId="211CA0E3" w14:textId="77777777">
            <w:pPr>
              <w:jc w:val="both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b/>
                <w:szCs w:val="22"/>
              </w:rPr>
              <w:t>Internal and external relationships</w:t>
            </w:r>
          </w:p>
        </w:tc>
      </w:tr>
      <w:tr w:rsidRPr="00F77910" w:rsidR="00DD620F" w:rsidTr="3CFA2956" w14:paraId="4ABF9B63" w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="00DD620F" w:rsidP="00DD620F" w:rsidRDefault="00DD620F" w14:paraId="6F70C1BE" w14:textId="60FC2AAC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The following list is not exhaustive but the post holder will be required to liaise with:</w:t>
            </w:r>
          </w:p>
          <w:p w:rsidR="00425164" w:rsidP="00DD620F" w:rsidRDefault="00425164" w14:paraId="53C57DE0" w14:textId="77777777">
            <w:pPr>
              <w:jc w:val="both"/>
              <w:rPr>
                <w:rFonts w:ascii="Corbel" w:hAnsi="Corbel" w:cs="Arial"/>
                <w:szCs w:val="22"/>
              </w:rPr>
            </w:pPr>
          </w:p>
          <w:p w:rsidR="008D711E" w:rsidP="00DD620F" w:rsidRDefault="008D711E" w14:paraId="5A7ACAEC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Head of Ac</w:t>
            </w:r>
            <w:r w:rsidR="00425164">
              <w:rPr>
                <w:rFonts w:ascii="Corbel" w:hAnsi="Corbel" w:cs="Arial"/>
                <w:szCs w:val="22"/>
              </w:rPr>
              <w:t>quisitions and Content Delivery</w:t>
            </w:r>
          </w:p>
          <w:p w:rsidR="00425164" w:rsidP="00425164" w:rsidRDefault="00D96586" w14:paraId="33C7A3B1" w14:textId="635220A6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 xml:space="preserve">SIA </w:t>
            </w:r>
            <w:r w:rsidR="00425164">
              <w:rPr>
                <w:rFonts w:ascii="Corbel" w:hAnsi="Corbel" w:cs="Arial"/>
                <w:szCs w:val="22"/>
              </w:rPr>
              <w:t>Metadata and Discovery</w:t>
            </w:r>
          </w:p>
          <w:p w:rsidR="00425164" w:rsidP="3CFA2956" w:rsidRDefault="00D96586" w14:paraId="0CDF7C9E" w14:textId="1771BF84">
            <w:pPr>
              <w:jc w:val="both"/>
              <w:rPr>
                <w:rFonts w:ascii="Corbel" w:hAnsi="Corbel" w:cs="Arial"/>
              </w:rPr>
            </w:pPr>
            <w:r w:rsidRPr="3CFA2956" w:rsidR="00D96586">
              <w:rPr>
                <w:rFonts w:ascii="Corbel" w:hAnsi="Corbel" w:cs="Arial"/>
              </w:rPr>
              <w:t>Acquisitions and E-resources Coordinator</w:t>
            </w:r>
          </w:p>
          <w:p w:rsidR="008D711E" w:rsidP="00DD620F" w:rsidRDefault="008D711E" w14:paraId="74BC7F87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Library Systems Manager</w:t>
            </w:r>
          </w:p>
          <w:p w:rsidR="008D711E" w:rsidP="00DD620F" w:rsidRDefault="008D711E" w14:paraId="7E755ED7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Academic Liaison Team</w:t>
            </w:r>
          </w:p>
          <w:p w:rsidR="00425164" w:rsidP="00DD620F" w:rsidRDefault="00425164" w14:paraId="77C46799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Library Administration Team</w:t>
            </w:r>
          </w:p>
          <w:p w:rsidR="009C64F0" w:rsidP="00DD620F" w:rsidRDefault="009C64F0" w14:paraId="51C3985A" w14:textId="0D6D95EB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Customer Services Team</w:t>
            </w:r>
          </w:p>
          <w:p w:rsidR="009C64F0" w:rsidP="00DD620F" w:rsidRDefault="009C64F0" w14:paraId="351198DE" w14:textId="1DBF3069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Research Support Team</w:t>
            </w:r>
          </w:p>
          <w:p w:rsidR="001C50C1" w:rsidP="00DD620F" w:rsidRDefault="001C50C1" w14:paraId="3D12104B" w14:textId="77777777">
            <w:pPr>
              <w:jc w:val="both"/>
              <w:rPr>
                <w:rFonts w:ascii="Corbel" w:hAnsi="Corbel" w:cs="Arial"/>
                <w:szCs w:val="22"/>
              </w:rPr>
            </w:pPr>
          </w:p>
          <w:p w:rsidR="001C50C1" w:rsidP="00DD620F" w:rsidRDefault="001C50C1" w14:paraId="3E39342D" w14:textId="114DAF95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Procurement Team</w:t>
            </w:r>
          </w:p>
          <w:p w:rsidR="001C50C1" w:rsidP="00DD620F" w:rsidRDefault="001C50C1" w14:paraId="2A050A66" w14:textId="2C9DE281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Finance Team</w:t>
            </w:r>
          </w:p>
          <w:p w:rsidR="00425164" w:rsidP="00DD620F" w:rsidRDefault="00425164" w14:paraId="44C73E69" w14:textId="77777777">
            <w:pPr>
              <w:jc w:val="both"/>
              <w:rPr>
                <w:rFonts w:ascii="Corbel" w:hAnsi="Corbel" w:cs="Arial"/>
                <w:szCs w:val="22"/>
              </w:rPr>
            </w:pPr>
          </w:p>
          <w:p w:rsidR="00425164" w:rsidP="00DD620F" w:rsidRDefault="00425164" w14:paraId="2AB2164A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Content providers and publishers</w:t>
            </w:r>
          </w:p>
          <w:p w:rsidR="00425164" w:rsidP="00DD620F" w:rsidRDefault="00425164" w14:paraId="0D0DEE0D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Purchasing consortia (</w:t>
            </w:r>
            <w:proofErr w:type="gramStart"/>
            <w:r>
              <w:rPr>
                <w:rFonts w:ascii="Corbel" w:hAnsi="Corbel" w:cs="Arial"/>
                <w:szCs w:val="22"/>
              </w:rPr>
              <w:t>e.g.</w:t>
            </w:r>
            <w:proofErr w:type="gramEnd"/>
            <w:r>
              <w:rPr>
                <w:rFonts w:ascii="Corbel" w:hAnsi="Corbel" w:cs="Arial"/>
                <w:szCs w:val="22"/>
              </w:rPr>
              <w:t xml:space="preserve"> JISC)</w:t>
            </w:r>
          </w:p>
          <w:p w:rsidR="00425164" w:rsidP="00DD620F" w:rsidRDefault="00425164" w14:paraId="6A72220A" w14:textId="77777777">
            <w:pPr>
              <w:jc w:val="both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Subscriptions agents</w:t>
            </w:r>
          </w:p>
          <w:p w:rsidRPr="00DE2D49" w:rsidR="00DD620F" w:rsidP="00DD620F" w:rsidRDefault="00DD620F" w14:paraId="3790D81D" w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</w:p>
        </w:tc>
      </w:tr>
    </w:tbl>
    <w:p w:rsidR="003A067B" w:rsidP="003A067B" w:rsidRDefault="003A067B" w14:paraId="33B9106A" w14:textId="77777777">
      <w:pPr>
        <w:spacing w:after="160" w:line="259" w:lineRule="auto"/>
        <w:rPr>
          <w:rFonts w:ascii="Corbel" w:hAnsi="Corbel" w:cs="Arial"/>
          <w:b/>
          <w:szCs w:val="22"/>
        </w:rPr>
      </w:pPr>
    </w:p>
    <w:sectPr w:rsidR="003A067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E1"/>
    <w:multiLevelType w:val="hybridMultilevel"/>
    <w:tmpl w:val="CE1C98BE"/>
    <w:lvl w:ilvl="0" w:tplc="CB76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B34D7"/>
    <w:multiLevelType w:val="hybridMultilevel"/>
    <w:tmpl w:val="A5CC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4D5A"/>
    <w:multiLevelType w:val="hybridMultilevel"/>
    <w:tmpl w:val="95EA9EB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0A5CCB"/>
    <w:multiLevelType w:val="hybridMultilevel"/>
    <w:tmpl w:val="7EFABC9E"/>
    <w:lvl w:ilvl="0" w:tplc="8C96FC3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32D1D"/>
    <w:multiLevelType w:val="hybridMultilevel"/>
    <w:tmpl w:val="7DF0ED4E"/>
    <w:lvl w:ilvl="0" w:tplc="FD40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F2086"/>
    <w:multiLevelType w:val="hybridMultilevel"/>
    <w:tmpl w:val="042ED6C0"/>
    <w:lvl w:ilvl="0" w:tplc="A3E4C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6816E9"/>
    <w:multiLevelType w:val="hybridMultilevel"/>
    <w:tmpl w:val="4A2ABF24"/>
    <w:lvl w:ilvl="0" w:tplc="43A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61731"/>
    <w:multiLevelType w:val="hybridMultilevel"/>
    <w:tmpl w:val="EA22BB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69F1C74"/>
    <w:multiLevelType w:val="hybridMultilevel"/>
    <w:tmpl w:val="8F46012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8821F12"/>
    <w:multiLevelType w:val="hybridMultilevel"/>
    <w:tmpl w:val="D08ABED2"/>
    <w:lvl w:ilvl="0" w:tplc="00A40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F4EEA"/>
    <w:multiLevelType w:val="hybridMultilevel"/>
    <w:tmpl w:val="44F83B1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73702F"/>
    <w:multiLevelType w:val="hybridMultilevel"/>
    <w:tmpl w:val="3BD8408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EB2933"/>
    <w:multiLevelType w:val="hybridMultilevel"/>
    <w:tmpl w:val="5DCE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07877">
    <w:abstractNumId w:val="1"/>
  </w:num>
  <w:num w:numId="2" w16cid:durableId="488252046">
    <w:abstractNumId w:val="12"/>
  </w:num>
  <w:num w:numId="3" w16cid:durableId="101847347">
    <w:abstractNumId w:val="6"/>
  </w:num>
  <w:num w:numId="4" w16cid:durableId="188417476">
    <w:abstractNumId w:val="4"/>
  </w:num>
  <w:num w:numId="5" w16cid:durableId="1771656530">
    <w:abstractNumId w:val="5"/>
  </w:num>
  <w:num w:numId="6" w16cid:durableId="1297636703">
    <w:abstractNumId w:val="0"/>
  </w:num>
  <w:num w:numId="7" w16cid:durableId="1624270493">
    <w:abstractNumId w:val="9"/>
  </w:num>
  <w:num w:numId="8" w16cid:durableId="448358825">
    <w:abstractNumId w:val="10"/>
  </w:num>
  <w:num w:numId="9" w16cid:durableId="1764523967">
    <w:abstractNumId w:val="2"/>
  </w:num>
  <w:num w:numId="10" w16cid:durableId="803163524">
    <w:abstractNumId w:val="11"/>
  </w:num>
  <w:num w:numId="11" w16cid:durableId="1475026959">
    <w:abstractNumId w:val="8"/>
  </w:num>
  <w:num w:numId="12" w16cid:durableId="889801145">
    <w:abstractNumId w:val="7"/>
  </w:num>
  <w:num w:numId="13" w16cid:durableId="1836535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3"/>
    <w:rsid w:val="00057373"/>
    <w:rsid w:val="00076E1B"/>
    <w:rsid w:val="00096BE7"/>
    <w:rsid w:val="000B7B10"/>
    <w:rsid w:val="000F2665"/>
    <w:rsid w:val="001201A6"/>
    <w:rsid w:val="001270F7"/>
    <w:rsid w:val="001633A2"/>
    <w:rsid w:val="00174914"/>
    <w:rsid w:val="001C50C1"/>
    <w:rsid w:val="001F30F1"/>
    <w:rsid w:val="00225EE6"/>
    <w:rsid w:val="00247AF8"/>
    <w:rsid w:val="003137AA"/>
    <w:rsid w:val="003507BF"/>
    <w:rsid w:val="00365E57"/>
    <w:rsid w:val="0037419B"/>
    <w:rsid w:val="0037427B"/>
    <w:rsid w:val="003A067B"/>
    <w:rsid w:val="003C5824"/>
    <w:rsid w:val="00425164"/>
    <w:rsid w:val="00431735"/>
    <w:rsid w:val="00443AEC"/>
    <w:rsid w:val="00486F05"/>
    <w:rsid w:val="005968C3"/>
    <w:rsid w:val="005E7363"/>
    <w:rsid w:val="00642E9C"/>
    <w:rsid w:val="006E32E7"/>
    <w:rsid w:val="006E7EFF"/>
    <w:rsid w:val="007528AA"/>
    <w:rsid w:val="00800C13"/>
    <w:rsid w:val="0082082A"/>
    <w:rsid w:val="00851283"/>
    <w:rsid w:val="00860C88"/>
    <w:rsid w:val="00885A48"/>
    <w:rsid w:val="00894AD3"/>
    <w:rsid w:val="008D711E"/>
    <w:rsid w:val="0099770B"/>
    <w:rsid w:val="009C2B5A"/>
    <w:rsid w:val="009C64F0"/>
    <w:rsid w:val="009E3B8E"/>
    <w:rsid w:val="009F6936"/>
    <w:rsid w:val="00A5659C"/>
    <w:rsid w:val="00A734C3"/>
    <w:rsid w:val="00A76E58"/>
    <w:rsid w:val="00B46E43"/>
    <w:rsid w:val="00B567C8"/>
    <w:rsid w:val="00BA2D24"/>
    <w:rsid w:val="00BA2E49"/>
    <w:rsid w:val="00BB0C94"/>
    <w:rsid w:val="00BC7C03"/>
    <w:rsid w:val="00C958A1"/>
    <w:rsid w:val="00D56B08"/>
    <w:rsid w:val="00D80447"/>
    <w:rsid w:val="00D96586"/>
    <w:rsid w:val="00DA550D"/>
    <w:rsid w:val="00DC484E"/>
    <w:rsid w:val="00DD620F"/>
    <w:rsid w:val="00DE2D49"/>
    <w:rsid w:val="00E4203E"/>
    <w:rsid w:val="00EA64A9"/>
    <w:rsid w:val="00F01F37"/>
    <w:rsid w:val="00F05AF5"/>
    <w:rsid w:val="00F2015A"/>
    <w:rsid w:val="00F66947"/>
    <w:rsid w:val="00FB5B7C"/>
    <w:rsid w:val="00FE571B"/>
    <w:rsid w:val="05E731BE"/>
    <w:rsid w:val="0707EBD7"/>
    <w:rsid w:val="0D590CD0"/>
    <w:rsid w:val="10835D50"/>
    <w:rsid w:val="14D40C67"/>
    <w:rsid w:val="18511EC5"/>
    <w:rsid w:val="188889AE"/>
    <w:rsid w:val="1914BFFE"/>
    <w:rsid w:val="198F826A"/>
    <w:rsid w:val="1C05ED61"/>
    <w:rsid w:val="1DEA29CC"/>
    <w:rsid w:val="2121238D"/>
    <w:rsid w:val="265CCA9B"/>
    <w:rsid w:val="2CB2E3C2"/>
    <w:rsid w:val="2FEA8484"/>
    <w:rsid w:val="319F7D42"/>
    <w:rsid w:val="32CD673C"/>
    <w:rsid w:val="33B092F4"/>
    <w:rsid w:val="37B8066D"/>
    <w:rsid w:val="3CFA2956"/>
    <w:rsid w:val="3FA3861C"/>
    <w:rsid w:val="447DDDD5"/>
    <w:rsid w:val="4C371DE8"/>
    <w:rsid w:val="4DD2EE49"/>
    <w:rsid w:val="4F8CDF35"/>
    <w:rsid w:val="53C9D551"/>
    <w:rsid w:val="5C1CD855"/>
    <w:rsid w:val="5C552F38"/>
    <w:rsid w:val="5D27DC48"/>
    <w:rsid w:val="5FB25F0A"/>
    <w:rsid w:val="60433224"/>
    <w:rsid w:val="610F77FE"/>
    <w:rsid w:val="61FF3C97"/>
    <w:rsid w:val="65FC117E"/>
    <w:rsid w:val="710A871A"/>
    <w:rsid w:val="73B52F1C"/>
    <w:rsid w:val="76ECCFDE"/>
    <w:rsid w:val="7D5C1162"/>
    <w:rsid w:val="7DA49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6EA97"/>
  <w15:chartTrackingRefBased/>
  <w15:docId w15:val="{0308BA7B-5A47-42CF-BEEE-7DA00369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C03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7C03"/>
    <w:pPr>
      <w:keepNext/>
      <w:jc w:val="both"/>
      <w:outlineLvl w:val="0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4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C7C03"/>
    <w:rPr>
      <w:rFonts w:ascii="Arial" w:hAnsi="Arial" w:eastAsia="Times New Roman" w:cs="Times New Roman"/>
      <w:b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BC7C03"/>
    <w:pPr>
      <w:ind w:left="720"/>
      <w:contextualSpacing/>
    </w:pPr>
    <w:rPr>
      <w:rFonts w:ascii="Corbel" w:hAnsi="Corbel" w:eastAsia="Calibri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5A4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CC19C-0784-4841-A577-51499A2A7378}"/>
</file>

<file path=customXml/itemProps2.xml><?xml version="1.0" encoding="utf-8"?>
<ds:datastoreItem xmlns:ds="http://schemas.openxmlformats.org/officeDocument/2006/customXml" ds:itemID="{0DA5DE05-8D7A-4A4A-AD53-F9B71D281DCC}"/>
</file>

<file path=customXml/itemProps3.xml><?xml version="1.0" encoding="utf-8"?>
<ds:datastoreItem xmlns:ds="http://schemas.openxmlformats.org/officeDocument/2006/customXml" ds:itemID="{955F0ED9-604C-4527-89B7-4BE5A38BC9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RHUL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Hemus, Gillian</dc:creator>
  <cp:keywords/>
  <dc:description/>
  <cp:lastModifiedBy>Bower, Philip</cp:lastModifiedBy>
  <cp:revision>3</cp:revision>
  <dcterms:created xsi:type="dcterms:W3CDTF">2023-09-13T14:31:00Z</dcterms:created>
  <dcterms:modified xsi:type="dcterms:W3CDTF">2023-09-19T15:02:44Z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  <property fmtid="{D5CDD505-2E9C-101B-9397-08002B2CF9AE}" pid="3" name="MediaServiceImageTags">
    <vt:lpwstr/>
  </property>
</Properties>
</file>